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r w:rsidDel="00000000" w:rsidR="00000000" w:rsidRPr="00000000">
        <w:rPr>
          <w:rtl w:val="0"/>
        </w:rPr>
      </w:r>
    </w:p>
    <w:p w:rsidR="00000000" w:rsidDel="00000000" w:rsidP="00000000" w:rsidRDefault="00000000" w:rsidRPr="00000000" w14:paraId="00000002">
      <w:pPr>
        <w:pStyle w:val="Heading1"/>
        <w:shd w:fill="7f7f7f" w:val="clear"/>
        <w:jc w:val="center"/>
        <w:rPr>
          <w:b w:val="1"/>
          <w:color w:val="ffc000"/>
        </w:rPr>
      </w:pPr>
      <w:r w:rsidDel="00000000" w:rsidR="00000000" w:rsidRPr="00000000">
        <w:rPr>
          <w:b w:val="1"/>
          <w:color w:val="ffc000"/>
          <w:rtl w:val="0"/>
        </w:rPr>
        <w:t xml:space="preserve">MODULE 1. SHARE</w:t>
      </w:r>
    </w:p>
    <w:p w:rsidR="00000000" w:rsidDel="00000000" w:rsidP="00000000" w:rsidRDefault="00000000" w:rsidRPr="00000000" w14:paraId="00000003">
      <w:pPr>
        <w:pStyle w:val="Heading1"/>
        <w:shd w:fill="7f7f7f" w:val="clear"/>
        <w:jc w:val="center"/>
        <w:rPr>
          <w:b w:val="1"/>
          <w:color w:val="ffc000"/>
        </w:rPr>
      </w:pPr>
      <w:r w:rsidDel="00000000" w:rsidR="00000000" w:rsidRPr="00000000">
        <w:rPr>
          <w:b w:val="1"/>
          <w:color w:val="ffc000"/>
          <w:rtl w:val="0"/>
        </w:rPr>
        <w:t xml:space="preserve">SKILLS PRACTICE: COMPARING SPENDING ON DIFFERENT SECTORS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shd w:fill="fff2cc" w:val="clear"/>
        <w:ind w:left="0" w:firstLine="0"/>
        <w:jc w:val="center"/>
        <w:rPr>
          <w:b w:val="1"/>
          <w:sz w:val="28"/>
          <w:szCs w:val="28"/>
        </w:rPr>
      </w:pPr>
      <w:r w:rsidDel="00000000" w:rsidR="00000000" w:rsidRPr="00000000">
        <w:rPr>
          <w:b w:val="1"/>
          <w:sz w:val="28"/>
          <w:szCs w:val="28"/>
          <w:rtl w:val="0"/>
        </w:rPr>
        <w:t xml:space="preserve">Aim of exercise </w:t>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shd w:fill="fff2cc" w:val="clear"/>
        <w:ind w:left="0" w:firstLine="0"/>
        <w:rPr>
          <w:b w:val="1"/>
          <w:sz w:val="24"/>
          <w:szCs w:val="24"/>
        </w:rPr>
      </w:pPr>
      <w:r w:rsidDel="00000000" w:rsidR="00000000" w:rsidRPr="00000000">
        <w:rPr>
          <w:sz w:val="24"/>
          <w:szCs w:val="24"/>
          <w:rtl w:val="0"/>
        </w:rPr>
        <w:t xml:space="preserve">To practise analysing spending on different sectors in a sample budget in order to be able to conduct a similar analysis using your own country budget.</w:t>
      </w:r>
      <w:r w:rsidDel="00000000" w:rsidR="00000000" w:rsidRPr="00000000">
        <w:rPr>
          <w:rtl w:val="0"/>
        </w:rPr>
      </w:r>
    </w:p>
    <w:p w:rsidR="00000000" w:rsidDel="00000000" w:rsidP="00000000" w:rsidRDefault="00000000" w:rsidRPr="00000000" w14:paraId="00000007">
      <w:pPr>
        <w:ind w:left="0" w:firstLine="0"/>
        <w:rPr>
          <w:b w:val="1"/>
        </w:rPr>
      </w:pPr>
      <w:r w:rsidDel="00000000" w:rsidR="00000000" w:rsidRPr="00000000">
        <w:rPr>
          <w:rtl w:val="0"/>
        </w:rPr>
      </w:r>
    </w:p>
    <w:p w:rsidR="00000000" w:rsidDel="00000000" w:rsidP="00000000" w:rsidRDefault="00000000" w:rsidRPr="00000000" w14:paraId="00000008">
      <w:pPr>
        <w:shd w:fill="ffc000" w:val="clear"/>
        <w:rPr>
          <w:b w:val="1"/>
          <w:color w:val="ffffff"/>
          <w:sz w:val="28"/>
          <w:szCs w:val="28"/>
        </w:rPr>
      </w:pPr>
      <w:r w:rsidDel="00000000" w:rsidR="00000000" w:rsidRPr="00000000">
        <w:rPr>
          <w:b w:val="1"/>
          <w:color w:val="ffffff"/>
          <w:sz w:val="28"/>
          <w:szCs w:val="28"/>
          <w:rtl w:val="0"/>
        </w:rPr>
        <w:t xml:space="preserve">Activity</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In this exercise you are asked to carry out an analysis of a simple practice budget, calculate the share of the budget allocated to different sectors, and to start to think about how this might relate to advocacy asks/messages. This is expected to help you start to think about how to think about general advocacy messages before doing your own detailed budget analysis - i.e as a practice budget - but would also need to be replicated with your own government budget to support thinking about advocacy messages and asks that would be targeted at your government on the basis of this evidence.</w:t>
      </w:r>
    </w:p>
    <w:p w:rsidR="00000000" w:rsidDel="00000000" w:rsidP="00000000" w:rsidRDefault="00000000" w:rsidRPr="00000000" w14:paraId="0000000B">
      <w:pPr>
        <w:rPr/>
      </w:pPr>
      <w:r w:rsidDel="00000000" w:rsidR="00000000" w:rsidRPr="00000000">
        <w:rPr>
          <w:rtl w:val="0"/>
        </w:rPr>
        <w:t xml:space="preserve">The figures in the practice budget are deliberately constructed for some key advocacy points to be drawn out – it is expected it will help you start thinking about these areas. You should look at the whole budget and think about how funds are distributed, keeping in mind what you have read so far in this module. Do also note that the figures in the practice budget are highly simplified. This will give you some initial practice before moving on to analyse your own budget, which will likely be a much more complicated task.</w:t>
      </w:r>
    </w:p>
    <w:p w:rsidR="00000000" w:rsidDel="00000000" w:rsidP="00000000" w:rsidRDefault="00000000" w:rsidRPr="00000000" w14:paraId="0000000C">
      <w:pPr>
        <w:rPr/>
      </w:pPr>
      <w:r w:rsidDel="00000000" w:rsidR="00000000" w:rsidRPr="00000000">
        <w:rPr>
          <w:b w:val="1"/>
          <w:rtl w:val="0"/>
        </w:rPr>
        <w:t xml:space="preserve">Step 1:</w:t>
      </w:r>
      <w:r w:rsidDel="00000000" w:rsidR="00000000" w:rsidRPr="00000000">
        <w:rPr>
          <w:rtl w:val="0"/>
        </w:rPr>
        <w:t xml:space="preserve"> Review the sample budget below and answer the following questions:</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priority areas (based on the percentage share of the total budget)?</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do you think about the budget allocation to education, compared to other areas?</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there any areas that it might be possible to reduce to free up more money for education?</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questions arise from the figures below?</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further information required in any areas?</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key advocacy issues are emerging in relation to your analysis?</w:t>
      </w:r>
    </w:p>
    <w:tbl>
      <w:tblPr>
        <w:tblStyle w:val="Table1"/>
        <w:tblW w:w="98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06"/>
        <w:gridCol w:w="1854"/>
        <w:gridCol w:w="1205"/>
        <w:tblGridChange w:id="0">
          <w:tblGrid>
            <w:gridCol w:w="6806"/>
            <w:gridCol w:w="1854"/>
            <w:gridCol w:w="1205"/>
          </w:tblGrid>
        </w:tblGridChange>
      </w:tblGrid>
      <w:tr>
        <w:trPr>
          <w:cantSplit w:val="0"/>
          <w:trHeight w:val="287" w:hRule="atLeast"/>
          <w:tblHeader w:val="0"/>
        </w:trPr>
        <w:tc>
          <w:tcPr>
            <w:tcBorders>
              <w:top w:color="000000" w:space="0" w:sz="4" w:val="single"/>
              <w:left w:color="000000" w:space="0" w:sz="4" w:val="single"/>
              <w:bottom w:color="000000" w:space="0" w:sz="4" w:val="single"/>
              <w:right w:color="000000" w:space="0" w:sz="4" w:val="single"/>
            </w:tcBorders>
            <w:shd w:fill="ffe599" w:val="clear"/>
          </w:tcPr>
          <w:p w:rsidR="00000000" w:rsidDel="00000000" w:rsidP="00000000" w:rsidRDefault="00000000" w:rsidRPr="00000000" w14:paraId="00000013">
            <w:pPr>
              <w:rPr>
                <w:b w:val="1"/>
                <w:sz w:val="24"/>
                <w:szCs w:val="24"/>
              </w:rPr>
            </w:pPr>
            <w:r w:rsidDel="00000000" w:rsidR="00000000" w:rsidRPr="00000000">
              <w:rPr>
                <w:b w:val="1"/>
                <w:sz w:val="24"/>
                <w:szCs w:val="24"/>
                <w:rtl w:val="0"/>
              </w:rPr>
              <w:t xml:space="preserve">Sector/Ministry/Department</w:t>
            </w:r>
          </w:p>
        </w:tc>
        <w:tc>
          <w:tcPr>
            <w:tcBorders>
              <w:top w:color="000000" w:space="0" w:sz="4" w:val="single"/>
              <w:left w:color="000000" w:space="0" w:sz="4" w:val="single"/>
              <w:bottom w:color="000000" w:space="0" w:sz="4" w:val="single"/>
              <w:right w:color="000000" w:space="0" w:sz="4" w:val="single"/>
            </w:tcBorders>
            <w:shd w:fill="ffe599" w:val="clear"/>
          </w:tcPr>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Approved budget</w:t>
              <w:br w:type="textWrapping"/>
              <w:t xml:space="preserve">(millions)</w:t>
            </w:r>
          </w:p>
        </w:tc>
        <w:tc>
          <w:tcPr>
            <w:tcBorders>
              <w:top w:color="000000" w:space="0" w:sz="4" w:val="single"/>
              <w:left w:color="000000" w:space="0" w:sz="4" w:val="single"/>
              <w:bottom w:color="000000" w:space="0" w:sz="4" w:val="single"/>
              <w:right w:color="000000" w:space="0" w:sz="4" w:val="single"/>
            </w:tcBorders>
            <w:shd w:fill="ffe599" w:val="clear"/>
          </w:tcPr>
          <w:p w:rsidR="00000000" w:rsidDel="00000000" w:rsidP="00000000" w:rsidRDefault="00000000" w:rsidRPr="00000000" w14:paraId="00000015">
            <w:pPr>
              <w:rPr>
                <w:b w:val="1"/>
                <w:sz w:val="24"/>
                <w:szCs w:val="24"/>
              </w:rPr>
            </w:pPr>
            <w:r w:rsidDel="00000000" w:rsidR="00000000" w:rsidRPr="00000000">
              <w:rPr>
                <w:b w:val="1"/>
                <w:sz w:val="24"/>
                <w:szCs w:val="24"/>
                <w:rtl w:val="0"/>
              </w:rPr>
              <w:t xml:space="preserve">% Approved</w:t>
            </w:r>
          </w:p>
        </w:tc>
      </w:tr>
      <w:tr>
        <w:trPr>
          <w:cantSplit w:val="0"/>
          <w:trHeight w:val="287" w:hRule="atLeast"/>
          <w:tblHeader w:val="0"/>
        </w:trPr>
        <w:tc>
          <w:tcPr>
            <w:tcBorders>
              <w:top w:color="000000" w:space="0" w:sz="4" w:val="single"/>
            </w:tcBorders>
          </w:tcPr>
          <w:p w:rsidR="00000000" w:rsidDel="00000000" w:rsidP="00000000" w:rsidRDefault="00000000" w:rsidRPr="00000000" w14:paraId="00000016">
            <w:pPr>
              <w:rPr/>
            </w:pPr>
            <w:r w:rsidDel="00000000" w:rsidR="00000000" w:rsidRPr="00000000">
              <w:rPr>
                <w:rtl w:val="0"/>
              </w:rPr>
              <w:t xml:space="preserve">Ministry of Defence</w:t>
            </w:r>
          </w:p>
        </w:tc>
        <w:tc>
          <w:tcPr>
            <w:tcBorders>
              <w:top w:color="000000" w:space="0" w:sz="4" w:val="single"/>
            </w:tcBorders>
          </w:tcPr>
          <w:p w:rsidR="00000000" w:rsidDel="00000000" w:rsidP="00000000" w:rsidRDefault="00000000" w:rsidRPr="00000000" w14:paraId="00000017">
            <w:pPr>
              <w:rPr/>
            </w:pPr>
            <w:r w:rsidDel="00000000" w:rsidR="00000000" w:rsidRPr="00000000">
              <w:rPr>
                <w:rtl w:val="0"/>
              </w:rPr>
              <w:t xml:space="preserve">1,888.33</w:t>
            </w:r>
          </w:p>
        </w:tc>
        <w:tc>
          <w:tcPr>
            <w:tcBorders>
              <w:top w:color="000000" w:space="0" w:sz="4" w:val="single"/>
            </w:tcBorders>
          </w:tcPr>
          <w:p w:rsidR="00000000" w:rsidDel="00000000" w:rsidP="00000000" w:rsidRDefault="00000000" w:rsidRPr="00000000" w14:paraId="00000018">
            <w:pPr>
              <w:rPr/>
            </w:pPr>
            <w:r w:rsidDel="00000000" w:rsidR="00000000" w:rsidRPr="00000000">
              <w:rPr>
                <w:rtl w:val="0"/>
              </w:rPr>
              <w:t xml:space="preserve">12%</w:t>
            </w:r>
          </w:p>
        </w:tc>
      </w:tr>
      <w:tr>
        <w:trPr>
          <w:cantSplit w:val="0"/>
          <w:trHeight w:val="287" w:hRule="atLeast"/>
          <w:tblHeader w:val="0"/>
        </w:trPr>
        <w:tc>
          <w:tcPr>
            <w:shd w:fill="e7e6e6" w:val="clear"/>
          </w:tcPr>
          <w:p w:rsidR="00000000" w:rsidDel="00000000" w:rsidP="00000000" w:rsidRDefault="00000000" w:rsidRPr="00000000" w14:paraId="00000019">
            <w:pPr>
              <w:rPr/>
            </w:pPr>
            <w:r w:rsidDel="00000000" w:rsidR="00000000" w:rsidRPr="00000000">
              <w:rPr>
                <w:rtl w:val="0"/>
              </w:rPr>
              <w:t xml:space="preserve">Ministry of Roads, Transport &amp; Rural Infrastructure</w:t>
            </w:r>
          </w:p>
        </w:tc>
        <w:tc>
          <w:tcPr>
            <w:shd w:fill="e7e6e6" w:val="clear"/>
          </w:tcPr>
          <w:p w:rsidR="00000000" w:rsidDel="00000000" w:rsidP="00000000" w:rsidRDefault="00000000" w:rsidRPr="00000000" w14:paraId="0000001A">
            <w:pPr>
              <w:rPr/>
            </w:pPr>
            <w:r w:rsidDel="00000000" w:rsidR="00000000" w:rsidRPr="00000000">
              <w:rPr>
                <w:rtl w:val="0"/>
              </w:rPr>
              <w:t xml:space="preserve">2,389.37</w:t>
            </w:r>
          </w:p>
        </w:tc>
        <w:tc>
          <w:tcPr>
            <w:shd w:fill="e7e6e6" w:val="clear"/>
          </w:tcPr>
          <w:p w:rsidR="00000000" w:rsidDel="00000000" w:rsidP="00000000" w:rsidRDefault="00000000" w:rsidRPr="00000000" w14:paraId="0000001B">
            <w:pPr>
              <w:rPr/>
            </w:pPr>
            <w:r w:rsidDel="00000000" w:rsidR="00000000" w:rsidRPr="00000000">
              <w:rPr>
                <w:rtl w:val="0"/>
              </w:rPr>
              <w:t xml:space="preserve">15%</w:t>
            </w:r>
          </w:p>
        </w:tc>
      </w:tr>
      <w:tr>
        <w:trPr>
          <w:cantSplit w:val="0"/>
          <w:trHeight w:val="287" w:hRule="atLeast"/>
          <w:tblHeader w:val="0"/>
        </w:trPr>
        <w:tc>
          <w:tcPr/>
          <w:p w:rsidR="00000000" w:rsidDel="00000000" w:rsidP="00000000" w:rsidRDefault="00000000" w:rsidRPr="00000000" w14:paraId="0000001C">
            <w:pPr>
              <w:rPr/>
            </w:pPr>
            <w:r w:rsidDel="00000000" w:rsidR="00000000" w:rsidRPr="00000000">
              <w:rPr>
                <w:rtl w:val="0"/>
              </w:rPr>
              <w:t xml:space="preserve">Ministry of Agriculture</w:t>
            </w:r>
          </w:p>
        </w:tc>
        <w:tc>
          <w:tcPr/>
          <w:p w:rsidR="00000000" w:rsidDel="00000000" w:rsidP="00000000" w:rsidRDefault="00000000" w:rsidRPr="00000000" w14:paraId="0000001D">
            <w:pPr>
              <w:rPr/>
            </w:pPr>
            <w:r w:rsidDel="00000000" w:rsidR="00000000" w:rsidRPr="00000000">
              <w:rPr>
                <w:rtl w:val="0"/>
              </w:rPr>
              <w:t xml:space="preserve">473.73</w:t>
            </w:r>
          </w:p>
        </w:tc>
        <w:tc>
          <w:tcPr/>
          <w:p w:rsidR="00000000" w:rsidDel="00000000" w:rsidP="00000000" w:rsidRDefault="00000000" w:rsidRPr="00000000" w14:paraId="0000001E">
            <w:pPr>
              <w:rPr/>
            </w:pPr>
            <w:r w:rsidDel="00000000" w:rsidR="00000000" w:rsidRPr="00000000">
              <w:rPr>
                <w:rtl w:val="0"/>
              </w:rPr>
              <w:t xml:space="preserve">3%</w:t>
            </w:r>
          </w:p>
        </w:tc>
      </w:tr>
      <w:tr>
        <w:trPr>
          <w:cantSplit w:val="0"/>
          <w:trHeight w:val="287" w:hRule="atLeast"/>
          <w:tblHeader w:val="0"/>
        </w:trPr>
        <w:tc>
          <w:tcPr>
            <w:shd w:fill="e7e6e6" w:val="clear"/>
          </w:tcPr>
          <w:p w:rsidR="00000000" w:rsidDel="00000000" w:rsidP="00000000" w:rsidRDefault="00000000" w:rsidRPr="00000000" w14:paraId="0000001F">
            <w:pPr>
              <w:rPr/>
            </w:pPr>
            <w:r w:rsidDel="00000000" w:rsidR="00000000" w:rsidRPr="00000000">
              <w:rPr>
                <w:rtl w:val="0"/>
              </w:rPr>
              <w:t xml:space="preserve">Ministry of Education</w:t>
            </w:r>
          </w:p>
        </w:tc>
        <w:tc>
          <w:tcPr>
            <w:shd w:fill="e7e6e6" w:val="clear"/>
          </w:tcPr>
          <w:p w:rsidR="00000000" w:rsidDel="00000000" w:rsidP="00000000" w:rsidRDefault="00000000" w:rsidRPr="00000000" w14:paraId="00000020">
            <w:pPr>
              <w:rPr/>
            </w:pPr>
            <w:r w:rsidDel="00000000" w:rsidR="00000000" w:rsidRPr="00000000">
              <w:rPr>
                <w:rtl w:val="0"/>
              </w:rPr>
              <w:t xml:space="preserve">2,550.38</w:t>
            </w:r>
          </w:p>
        </w:tc>
        <w:tc>
          <w:tcPr>
            <w:shd w:fill="e7e6e6" w:val="clear"/>
          </w:tcPr>
          <w:p w:rsidR="00000000" w:rsidDel="00000000" w:rsidP="00000000" w:rsidRDefault="00000000" w:rsidRPr="00000000" w14:paraId="00000021">
            <w:pPr>
              <w:rPr/>
            </w:pPr>
            <w:r w:rsidDel="00000000" w:rsidR="00000000" w:rsidRPr="00000000">
              <w:rPr>
                <w:rtl w:val="0"/>
              </w:rPr>
              <w:t xml:space="preserve">16%</w:t>
            </w:r>
          </w:p>
        </w:tc>
      </w:tr>
      <w:tr>
        <w:trPr>
          <w:cantSplit w:val="0"/>
          <w:trHeight w:val="287" w:hRule="atLeast"/>
          <w:tblHeader w:val="0"/>
        </w:trPr>
        <w:tc>
          <w:tcPr/>
          <w:p w:rsidR="00000000" w:rsidDel="00000000" w:rsidP="00000000" w:rsidRDefault="00000000" w:rsidRPr="00000000" w14:paraId="00000022">
            <w:pPr>
              <w:rPr/>
            </w:pPr>
            <w:r w:rsidDel="00000000" w:rsidR="00000000" w:rsidRPr="00000000">
              <w:rPr>
                <w:rtl w:val="0"/>
              </w:rPr>
              <w:t xml:space="preserve">Ministry of Health</w:t>
            </w:r>
          </w:p>
        </w:tc>
        <w:tc>
          <w:tcPr/>
          <w:p w:rsidR="00000000" w:rsidDel="00000000" w:rsidP="00000000" w:rsidRDefault="00000000" w:rsidRPr="00000000" w14:paraId="00000023">
            <w:pPr>
              <w:rPr/>
            </w:pPr>
            <w:r w:rsidDel="00000000" w:rsidR="00000000" w:rsidRPr="00000000">
              <w:rPr>
                <w:rtl w:val="0"/>
              </w:rPr>
              <w:t xml:space="preserve">1,281.14</w:t>
            </w:r>
          </w:p>
        </w:tc>
        <w:tc>
          <w:tcPr/>
          <w:p w:rsidR="00000000" w:rsidDel="00000000" w:rsidP="00000000" w:rsidRDefault="00000000" w:rsidRPr="00000000" w14:paraId="00000024">
            <w:pPr>
              <w:rPr/>
            </w:pPr>
            <w:r w:rsidDel="00000000" w:rsidR="00000000" w:rsidRPr="00000000">
              <w:rPr>
                <w:rtl w:val="0"/>
              </w:rPr>
              <w:t xml:space="preserve">8%</w:t>
            </w:r>
          </w:p>
        </w:tc>
      </w:tr>
      <w:tr>
        <w:trPr>
          <w:cantSplit w:val="0"/>
          <w:trHeight w:val="287" w:hRule="atLeast"/>
          <w:tblHeader w:val="0"/>
        </w:trPr>
        <w:tc>
          <w:tcPr>
            <w:shd w:fill="e7e6e6" w:val="clear"/>
          </w:tcPr>
          <w:p w:rsidR="00000000" w:rsidDel="00000000" w:rsidP="00000000" w:rsidRDefault="00000000" w:rsidRPr="00000000" w14:paraId="00000025">
            <w:pPr>
              <w:rPr/>
            </w:pPr>
            <w:r w:rsidDel="00000000" w:rsidR="00000000" w:rsidRPr="00000000">
              <w:rPr>
                <w:rtl w:val="0"/>
              </w:rPr>
              <w:t xml:space="preserve">Ministry of Water and Sanitation</w:t>
            </w:r>
          </w:p>
        </w:tc>
        <w:tc>
          <w:tcPr>
            <w:shd w:fill="e7e6e6" w:val="clear"/>
          </w:tcPr>
          <w:p w:rsidR="00000000" w:rsidDel="00000000" w:rsidP="00000000" w:rsidRDefault="00000000" w:rsidRPr="00000000" w14:paraId="00000026">
            <w:pPr>
              <w:rPr/>
            </w:pPr>
            <w:r w:rsidDel="00000000" w:rsidR="00000000" w:rsidRPr="00000000">
              <w:rPr>
                <w:rtl w:val="0"/>
              </w:rPr>
              <w:t xml:space="preserve">420.45</w:t>
            </w:r>
          </w:p>
        </w:tc>
        <w:tc>
          <w:tcPr>
            <w:shd w:fill="e7e6e6" w:val="clear"/>
          </w:tcPr>
          <w:p w:rsidR="00000000" w:rsidDel="00000000" w:rsidP="00000000" w:rsidRDefault="00000000" w:rsidRPr="00000000" w14:paraId="00000027">
            <w:pPr>
              <w:rPr/>
            </w:pPr>
            <w:r w:rsidDel="00000000" w:rsidR="00000000" w:rsidRPr="00000000">
              <w:rPr>
                <w:rtl w:val="0"/>
              </w:rPr>
              <w:t xml:space="preserve">3%</w:t>
            </w:r>
          </w:p>
        </w:tc>
      </w:tr>
      <w:tr>
        <w:trPr>
          <w:cantSplit w:val="0"/>
          <w:trHeight w:val="287" w:hRule="atLeast"/>
          <w:tblHeader w:val="0"/>
        </w:trPr>
        <w:tc>
          <w:tcPr/>
          <w:p w:rsidR="00000000" w:rsidDel="00000000" w:rsidP="00000000" w:rsidRDefault="00000000" w:rsidRPr="00000000" w14:paraId="00000028">
            <w:pPr>
              <w:rPr/>
            </w:pPr>
            <w:r w:rsidDel="00000000" w:rsidR="00000000" w:rsidRPr="00000000">
              <w:rPr>
                <w:rtl w:val="0"/>
              </w:rPr>
              <w:t xml:space="preserve">Office of the President</w:t>
            </w:r>
          </w:p>
        </w:tc>
        <w:tc>
          <w:tcPr/>
          <w:p w:rsidR="00000000" w:rsidDel="00000000" w:rsidP="00000000" w:rsidRDefault="00000000" w:rsidRPr="00000000" w14:paraId="00000029">
            <w:pPr>
              <w:rPr/>
            </w:pPr>
            <w:r w:rsidDel="00000000" w:rsidR="00000000" w:rsidRPr="00000000">
              <w:rPr>
                <w:rtl w:val="0"/>
              </w:rPr>
              <w:t xml:space="preserve">1,188.47</w:t>
            </w:r>
          </w:p>
        </w:tc>
        <w:tc>
          <w:tcPr/>
          <w:p w:rsidR="00000000" w:rsidDel="00000000" w:rsidP="00000000" w:rsidRDefault="00000000" w:rsidRPr="00000000" w14:paraId="0000002A">
            <w:pPr>
              <w:rPr/>
            </w:pPr>
            <w:r w:rsidDel="00000000" w:rsidR="00000000" w:rsidRPr="00000000">
              <w:rPr>
                <w:rtl w:val="0"/>
              </w:rPr>
              <w:t xml:space="preserve">8%</w:t>
            </w:r>
          </w:p>
        </w:tc>
      </w:tr>
      <w:tr>
        <w:trPr>
          <w:cantSplit w:val="0"/>
          <w:trHeight w:val="287" w:hRule="atLeast"/>
          <w:tblHeader w:val="0"/>
        </w:trPr>
        <w:tc>
          <w:tcPr>
            <w:shd w:fill="e7e6e6" w:val="clear"/>
          </w:tcPr>
          <w:p w:rsidR="00000000" w:rsidDel="00000000" w:rsidP="00000000" w:rsidRDefault="00000000" w:rsidRPr="00000000" w14:paraId="0000002B">
            <w:pPr>
              <w:rPr/>
            </w:pPr>
            <w:r w:rsidDel="00000000" w:rsidR="00000000" w:rsidRPr="00000000">
              <w:rPr>
                <w:rtl w:val="0"/>
              </w:rPr>
              <w:t xml:space="preserve">Ministry of Energy and Mineral Development</w:t>
            </w:r>
          </w:p>
        </w:tc>
        <w:tc>
          <w:tcPr>
            <w:shd w:fill="e7e6e6" w:val="clear"/>
          </w:tcPr>
          <w:p w:rsidR="00000000" w:rsidDel="00000000" w:rsidP="00000000" w:rsidRDefault="00000000" w:rsidRPr="00000000" w14:paraId="0000002C">
            <w:pPr>
              <w:rPr/>
            </w:pPr>
            <w:r w:rsidDel="00000000" w:rsidR="00000000" w:rsidRPr="00000000">
              <w:rPr>
                <w:rtl w:val="0"/>
              </w:rPr>
              <w:t xml:space="preserve">1,829.39</w:t>
            </w:r>
          </w:p>
        </w:tc>
        <w:tc>
          <w:tcPr>
            <w:shd w:fill="e7e6e6" w:val="clear"/>
          </w:tcPr>
          <w:p w:rsidR="00000000" w:rsidDel="00000000" w:rsidP="00000000" w:rsidRDefault="00000000" w:rsidRPr="00000000" w14:paraId="0000002D">
            <w:pPr>
              <w:rPr/>
            </w:pPr>
            <w:r w:rsidDel="00000000" w:rsidR="00000000" w:rsidRPr="00000000">
              <w:rPr>
                <w:rtl w:val="0"/>
              </w:rPr>
              <w:t xml:space="preserve">12%</w:t>
            </w:r>
          </w:p>
        </w:tc>
      </w:tr>
      <w:tr>
        <w:trPr>
          <w:cantSplit w:val="0"/>
          <w:trHeight w:val="287" w:hRule="atLeast"/>
          <w:tblHeader w:val="0"/>
        </w:trPr>
        <w:tc>
          <w:tcPr/>
          <w:p w:rsidR="00000000" w:rsidDel="00000000" w:rsidP="00000000" w:rsidRDefault="00000000" w:rsidRPr="00000000" w14:paraId="0000002E">
            <w:pPr>
              <w:rPr/>
            </w:pPr>
            <w:r w:rsidDel="00000000" w:rsidR="00000000" w:rsidRPr="00000000">
              <w:rPr>
                <w:rtl w:val="0"/>
              </w:rPr>
              <w:t xml:space="preserve">Public Administration</w:t>
            </w:r>
          </w:p>
        </w:tc>
        <w:tc>
          <w:tcPr/>
          <w:p w:rsidR="00000000" w:rsidDel="00000000" w:rsidP="00000000" w:rsidRDefault="00000000" w:rsidRPr="00000000" w14:paraId="0000002F">
            <w:pPr>
              <w:rPr/>
            </w:pPr>
            <w:r w:rsidDel="00000000" w:rsidR="00000000" w:rsidRPr="00000000">
              <w:rPr>
                <w:rtl w:val="0"/>
              </w:rPr>
              <w:t xml:space="preserve">554.84</w:t>
            </w:r>
          </w:p>
        </w:tc>
        <w:tc>
          <w:tcPr/>
          <w:p w:rsidR="00000000" w:rsidDel="00000000" w:rsidP="00000000" w:rsidRDefault="00000000" w:rsidRPr="00000000" w14:paraId="00000030">
            <w:pPr>
              <w:rPr/>
            </w:pPr>
            <w:r w:rsidDel="00000000" w:rsidR="00000000" w:rsidRPr="00000000">
              <w:rPr>
                <w:rtl w:val="0"/>
              </w:rPr>
              <w:t xml:space="preserve">4%</w:t>
            </w:r>
          </w:p>
        </w:tc>
      </w:tr>
      <w:tr>
        <w:trPr>
          <w:cantSplit w:val="0"/>
          <w:trHeight w:val="287" w:hRule="atLeast"/>
          <w:tblHeader w:val="0"/>
        </w:trPr>
        <w:tc>
          <w:tcPr>
            <w:shd w:fill="e7e6e6" w:val="clear"/>
          </w:tcPr>
          <w:p w:rsidR="00000000" w:rsidDel="00000000" w:rsidP="00000000" w:rsidRDefault="00000000" w:rsidRPr="00000000" w14:paraId="00000031">
            <w:pPr>
              <w:rPr/>
            </w:pPr>
            <w:r w:rsidDel="00000000" w:rsidR="00000000" w:rsidRPr="00000000">
              <w:rPr>
                <w:rtl w:val="0"/>
              </w:rPr>
              <w:t xml:space="preserve">Debt, interest payments</w:t>
            </w:r>
          </w:p>
        </w:tc>
        <w:tc>
          <w:tcPr>
            <w:shd w:fill="e7e6e6" w:val="clear"/>
          </w:tcPr>
          <w:p w:rsidR="00000000" w:rsidDel="00000000" w:rsidP="00000000" w:rsidRDefault="00000000" w:rsidRPr="00000000" w14:paraId="00000032">
            <w:pPr>
              <w:rPr/>
            </w:pPr>
            <w:r w:rsidDel="00000000" w:rsidR="00000000" w:rsidRPr="00000000">
              <w:rPr>
                <w:rtl w:val="0"/>
              </w:rPr>
              <w:t xml:space="preserve">3,082.87</w:t>
            </w:r>
          </w:p>
        </w:tc>
        <w:tc>
          <w:tcPr>
            <w:shd w:fill="e7e6e6" w:val="clear"/>
          </w:tcPr>
          <w:p w:rsidR="00000000" w:rsidDel="00000000" w:rsidP="00000000" w:rsidRDefault="00000000" w:rsidRPr="00000000" w14:paraId="00000033">
            <w:pPr>
              <w:rPr/>
            </w:pPr>
            <w:r w:rsidDel="00000000" w:rsidR="00000000" w:rsidRPr="00000000">
              <w:rPr>
                <w:rtl w:val="0"/>
              </w:rPr>
              <w:t xml:space="preserve">20%</w:t>
            </w:r>
          </w:p>
        </w:tc>
      </w:tr>
      <w:tr>
        <w:trPr>
          <w:cantSplit w:val="0"/>
          <w:trHeight w:val="287" w:hRule="atLeast"/>
          <w:tblHeader w:val="0"/>
        </w:trPr>
        <w:tc>
          <w:tcPr/>
          <w:p w:rsidR="00000000" w:rsidDel="00000000" w:rsidP="00000000" w:rsidRDefault="00000000" w:rsidRPr="00000000" w14:paraId="00000034">
            <w:pPr>
              <w:rPr/>
            </w:pPr>
            <w:r w:rsidDel="00000000" w:rsidR="00000000" w:rsidRPr="00000000">
              <w:rPr>
                <w:rtl w:val="0"/>
              </w:rPr>
              <w:t xml:space="preserve">TOTAL</w:t>
            </w:r>
          </w:p>
        </w:tc>
        <w:tc>
          <w:tcPr/>
          <w:p w:rsidR="00000000" w:rsidDel="00000000" w:rsidP="00000000" w:rsidRDefault="00000000" w:rsidRPr="00000000" w14:paraId="00000035">
            <w:pPr>
              <w:rPr/>
            </w:pPr>
            <w:r w:rsidDel="00000000" w:rsidR="00000000" w:rsidRPr="00000000">
              <w:rPr>
                <w:rtl w:val="0"/>
              </w:rPr>
              <w:t xml:space="preserve">15,658.97</w:t>
            </w:r>
          </w:p>
        </w:tc>
        <w:tc>
          <w:tcPr/>
          <w:p w:rsidR="00000000" w:rsidDel="00000000" w:rsidP="00000000" w:rsidRDefault="00000000" w:rsidRPr="00000000" w14:paraId="00000036">
            <w:pPr>
              <w:rPr/>
            </w:pPr>
            <w:r w:rsidDel="00000000" w:rsidR="00000000" w:rsidRPr="00000000">
              <w:rPr>
                <w:rtl w:val="0"/>
              </w:rPr>
              <w:t xml:space="preserve">100%</w:t>
            </w:r>
          </w:p>
        </w:tc>
      </w:tr>
    </w:tbl>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Step 2:</w:t>
      </w:r>
      <w:r w:rsidDel="00000000" w:rsidR="00000000" w:rsidRPr="00000000">
        <w:rPr>
          <w:rtl w:val="0"/>
        </w:rPr>
        <w:t xml:space="preserve">  Once you have done this on the practice budget, if you are able to locate sector-by-sector figures for your country’s budget but not the percentage share for each sector then try calculating this for yourself. In order to calculate the percentage, divide the sector/ministry approved budget amount by the total spending, and multiply it by 100. Once you’ve calculated the percentage share for education and other sectors then you can answer the questions above for your own budget (unless your government publishes a credible Citizens Budget).</w:t>
      </w:r>
    </w:p>
    <w:p w:rsidR="00000000" w:rsidDel="00000000" w:rsidP="00000000" w:rsidRDefault="00000000" w:rsidRPr="00000000" w14:paraId="00000039">
      <w:pPr>
        <w:ind w:left="0" w:firstLine="0"/>
        <w:rPr/>
      </w:pPr>
      <w:r w:rsidDel="00000000" w:rsidR="00000000" w:rsidRPr="00000000">
        <w:rPr>
          <w:rtl w:val="0"/>
        </w:rPr>
      </w:r>
    </w:p>
    <w:p w:rsidR="00000000" w:rsidDel="00000000" w:rsidP="00000000" w:rsidRDefault="00000000" w:rsidRPr="00000000" w14:paraId="0000003A">
      <w:pPr>
        <w:shd w:fill="d9d9d9" w:val="clear"/>
        <w:spacing w:after="0" w:line="360" w:lineRule="auto"/>
        <w:rPr/>
      </w:pPr>
      <w:r w:rsidDel="00000000" w:rsidR="00000000" w:rsidRPr="00000000">
        <w:rPr>
          <w:b w:val="1"/>
          <w:color w:val="ffc000"/>
          <w:sz w:val="28"/>
          <w:szCs w:val="28"/>
          <w:rtl w:val="0"/>
        </w:rPr>
        <w:t xml:space="preserve">What to do in a workshop setting</w:t>
      </w:r>
      <w:r w:rsidDel="00000000" w:rsidR="00000000" w:rsidRPr="00000000">
        <w:rPr>
          <w:rtl w:val="0"/>
        </w:rPr>
        <w:t xml:space="preserve"> </w:t>
      </w:r>
    </w:p>
    <w:p w:rsidR="00000000" w:rsidDel="00000000" w:rsidP="00000000" w:rsidRDefault="00000000" w:rsidRPr="00000000" w14:paraId="0000003B">
      <w:pPr>
        <w:shd w:fill="d9d9d9" w:val="clear"/>
        <w:spacing w:after="0" w:line="360" w:lineRule="auto"/>
        <w:rPr/>
      </w:pPr>
      <w:r w:rsidDel="00000000" w:rsidR="00000000" w:rsidRPr="00000000">
        <w:rPr>
          <w:b w:val="1"/>
          <w:rtl w:val="0"/>
        </w:rPr>
        <w:t xml:space="preserve">Time allowed:</w:t>
      </w:r>
      <w:r w:rsidDel="00000000" w:rsidR="00000000" w:rsidRPr="00000000">
        <w:rPr>
          <w:rtl w:val="0"/>
        </w:rPr>
        <w:t xml:space="preserve"> approximately 45 minutes in group, and feedback in plenary (10 minutes per group)</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d9d9d9" w:val="clear"/>
        <w:spacing w:after="0" w:before="0" w:line="360" w:lineRule="auto"/>
        <w:ind w:left="37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Ask participants to work in groups to and review the sample budget and identify key advocacy messages as a group they would .</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d9d9d9" w:val="clear"/>
        <w:spacing w:after="0" w:before="0" w:line="360" w:lineRule="auto"/>
        <w:ind w:left="37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Give feedback in plenary on the </w:t>
      </w:r>
      <w:r w:rsidDel="00000000" w:rsidR="00000000" w:rsidRPr="00000000">
        <w:rPr>
          <w:rtl w:val="0"/>
        </w:rPr>
        <w:t xml:space="preserve">key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points and the rationale for agreeing these.</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d9d9d9" w:val="clear"/>
        <w:spacing w:after="0" w:before="0" w:line="360" w:lineRule="auto"/>
        <w:ind w:left="37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are able to locate similar figures for the country you are working in then you can use those instead of the sample budget.</w:t>
      </w:r>
    </w:p>
    <w:p w:rsidR="00000000" w:rsidDel="00000000" w:rsidP="00000000" w:rsidRDefault="00000000" w:rsidRPr="00000000" w14:paraId="0000003F">
      <w:pPr>
        <w:shd w:fill="d9d9d9" w:val="clear"/>
        <w:spacing w:after="0" w:line="360" w:lineRule="auto"/>
        <w:rPr/>
      </w:pPr>
      <w:r w:rsidDel="00000000" w:rsidR="00000000" w:rsidRPr="00000000">
        <w:rPr>
          <w:i w:val="1"/>
          <w:sz w:val="18"/>
          <w:szCs w:val="18"/>
          <w:rtl w:val="0"/>
        </w:rPr>
        <w:t xml:space="preserve">NB: In order to help steer the discussions the facilitator should review the budget in advance to familiarise themselves with it and identify key issues that might come up in discussions and try to probe at what collective advocacy messages groups prioritise.</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70" w:hanging="360"/>
      </w:pPr>
      <w:rPr/>
    </w:lvl>
    <w:lvl w:ilvl="1">
      <w:start w:val="1"/>
      <w:numFmt w:val="lowerLetter"/>
      <w:lvlText w:val="%2."/>
      <w:lvlJc w:val="left"/>
      <w:pPr>
        <w:ind w:left="1090" w:hanging="360"/>
      </w:pPr>
      <w:rPr/>
    </w:lvl>
    <w:lvl w:ilvl="2">
      <w:start w:val="1"/>
      <w:numFmt w:val="lowerRoman"/>
      <w:lvlText w:val="%3."/>
      <w:lvlJc w:val="right"/>
      <w:pPr>
        <w:ind w:left="1810" w:hanging="180"/>
      </w:pPr>
      <w:rPr/>
    </w:lvl>
    <w:lvl w:ilvl="3">
      <w:start w:val="1"/>
      <w:numFmt w:val="decimal"/>
      <w:lvlText w:val="%4."/>
      <w:lvlJc w:val="left"/>
      <w:pPr>
        <w:ind w:left="2530" w:hanging="360"/>
      </w:pPr>
      <w:rPr/>
    </w:lvl>
    <w:lvl w:ilvl="4">
      <w:start w:val="1"/>
      <w:numFmt w:val="lowerLetter"/>
      <w:lvlText w:val="%5."/>
      <w:lvlJc w:val="left"/>
      <w:pPr>
        <w:ind w:left="3250" w:hanging="360"/>
      </w:pPr>
      <w:rPr/>
    </w:lvl>
    <w:lvl w:ilvl="5">
      <w:start w:val="1"/>
      <w:numFmt w:val="lowerRoman"/>
      <w:lvlText w:val="%6."/>
      <w:lvlJc w:val="right"/>
      <w:pPr>
        <w:ind w:left="3970" w:hanging="180"/>
      </w:pPr>
      <w:rPr/>
    </w:lvl>
    <w:lvl w:ilvl="6">
      <w:start w:val="1"/>
      <w:numFmt w:val="decimal"/>
      <w:lvlText w:val="%7."/>
      <w:lvlJc w:val="left"/>
      <w:pPr>
        <w:ind w:left="4690" w:hanging="360"/>
      </w:pPr>
      <w:rPr/>
    </w:lvl>
    <w:lvl w:ilvl="7">
      <w:start w:val="1"/>
      <w:numFmt w:val="lowerLetter"/>
      <w:lvlText w:val="%8."/>
      <w:lvlJc w:val="left"/>
      <w:pPr>
        <w:ind w:left="5410" w:hanging="360"/>
      </w:pPr>
      <w:rPr/>
    </w:lvl>
    <w:lvl w:ilvl="8">
      <w:start w:val="1"/>
      <w:numFmt w:val="lowerRoman"/>
      <w:lvlText w:val="%9."/>
      <w:lvlJc w:val="right"/>
      <w:pPr>
        <w:ind w:left="613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01" w:line="267" w:lineRule="auto"/>
        <w:ind w:left="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240" w:lineRule="auto"/>
      <w:ind w:left="0" w:firstLine="0"/>
      <w:jc w:val="left"/>
    </w:pPr>
    <w:rPr>
      <w:rFonts w:ascii="Calibri" w:cs="Calibri" w:eastAsia="Calibri" w:hAnsi="Calibri"/>
      <w:b w:val="1"/>
      <w:color w:val="70ad47"/>
      <w:sz w:val="40"/>
      <w:szCs w:val="4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C7AD2"/>
    <w:pPr>
      <w:spacing w:after="101" w:line="267" w:lineRule="auto"/>
      <w:ind w:left="10" w:hanging="10"/>
      <w:jc w:val="both"/>
    </w:pPr>
    <w:rPr>
      <w:rFonts w:cs="Arial" w:eastAsia="Arial"/>
      <w:color w:val="000000"/>
      <w:lang w:eastAsia="en-GB"/>
    </w:rPr>
  </w:style>
  <w:style w:type="paragraph" w:styleId="Heading1">
    <w:name w:val="heading 1"/>
    <w:basedOn w:val="Normal"/>
    <w:next w:val="Normal"/>
    <w:link w:val="Heading1Char"/>
    <w:uiPriority w:val="9"/>
    <w:qFormat w:val="1"/>
    <w:rsid w:val="007C7AD2"/>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7C7AD2"/>
    <w:pPr>
      <w:keepNext w:val="1"/>
      <w:keepLines w:val="1"/>
      <w:spacing w:after="0" w:before="40" w:line="240" w:lineRule="auto"/>
      <w:ind w:left="0" w:firstLine="0"/>
      <w:jc w:val="left"/>
      <w:outlineLvl w:val="1"/>
    </w:pPr>
    <w:rPr>
      <w:rFonts w:ascii="Calibri" w:hAnsi="Calibri" w:cstheme="majorBidi" w:eastAsiaTheme="majorEastAsia"/>
      <w:b w:val="1"/>
      <w:color w:val="70ad47" w:themeColor="accent6"/>
      <w:sz w:val="40"/>
      <w:szCs w:val="3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7C7AD2"/>
    <w:rPr>
      <w:rFonts w:ascii="Calibri" w:hAnsi="Calibri" w:cstheme="majorBidi" w:eastAsiaTheme="majorEastAsia"/>
      <w:b w:val="1"/>
      <w:color w:val="70ad47" w:themeColor="accent6"/>
      <w:sz w:val="40"/>
      <w:szCs w:val="32"/>
    </w:rPr>
  </w:style>
  <w:style w:type="table" w:styleId="TableGrid" w:customStyle="1">
    <w:name w:val="TableGrid"/>
    <w:rsid w:val="007C7AD2"/>
    <w:pPr>
      <w:spacing w:after="0" w:line="240" w:lineRule="auto"/>
    </w:pPr>
    <w:rPr>
      <w:rFonts w:eastAsiaTheme="minorEastAsia"/>
      <w:lang w:eastAsia="en-GB"/>
    </w:rPr>
    <w:tblPr>
      <w:tblCellMar>
        <w:top w:w="0.0" w:type="dxa"/>
        <w:left w:w="0.0" w:type="dxa"/>
        <w:bottom w:w="0.0" w:type="dxa"/>
        <w:right w:w="0.0" w:type="dxa"/>
      </w:tblCellMar>
    </w:tblPr>
  </w:style>
  <w:style w:type="paragraph" w:styleId="ListParagraph">
    <w:name w:val="List Paragraph"/>
    <w:basedOn w:val="Normal"/>
    <w:uiPriority w:val="34"/>
    <w:qFormat w:val="1"/>
    <w:rsid w:val="007C7AD2"/>
    <w:pPr>
      <w:spacing w:after="160" w:line="259" w:lineRule="auto"/>
      <w:ind w:left="720" w:firstLine="0"/>
      <w:contextualSpacing w:val="1"/>
    </w:pPr>
    <w:rPr>
      <w:rFonts w:cstheme="minorBidi" w:eastAsiaTheme="minorEastAsia"/>
      <w:color w:val="auto"/>
      <w:lang w:eastAsia="en-US"/>
    </w:rPr>
  </w:style>
  <w:style w:type="character" w:styleId="Strong">
    <w:name w:val="Strong"/>
    <w:basedOn w:val="DefaultParagraphFont"/>
    <w:uiPriority w:val="22"/>
    <w:qFormat w:val="1"/>
    <w:rsid w:val="007C7AD2"/>
    <w:rPr>
      <w:b w:val="1"/>
      <w:bCs w:val="1"/>
    </w:rPr>
  </w:style>
  <w:style w:type="character" w:styleId="Emphasis">
    <w:name w:val="Emphasis"/>
    <w:basedOn w:val="DefaultParagraphFont"/>
    <w:uiPriority w:val="20"/>
    <w:qFormat w:val="1"/>
    <w:rsid w:val="007C7AD2"/>
    <w:rPr>
      <w:i w:val="1"/>
      <w:iCs w:val="1"/>
      <w:color w:val="385623" w:themeColor="accent6" w:themeShade="000080"/>
      <w:sz w:val="28"/>
    </w:rPr>
  </w:style>
  <w:style w:type="character" w:styleId="Heading1Char" w:customStyle="1">
    <w:name w:val="Heading 1 Char"/>
    <w:basedOn w:val="DefaultParagraphFont"/>
    <w:link w:val="Heading1"/>
    <w:uiPriority w:val="9"/>
    <w:rsid w:val="007C7AD2"/>
    <w:rPr>
      <w:rFonts w:asciiTheme="majorHAnsi" w:cstheme="majorBidi" w:eastAsiaTheme="majorEastAsia" w:hAnsiTheme="majorHAnsi"/>
      <w:color w:val="2f5496" w:themeColor="accent1" w:themeShade="0000BF"/>
      <w:sz w:val="32"/>
      <w:szCs w:val="32"/>
      <w:lang w:eastAsia="en-GB"/>
    </w:rPr>
  </w:style>
  <w:style w:type="character" w:styleId="Hyperlink">
    <w:name w:val="Hyperlink"/>
    <w:basedOn w:val="DefaultParagraphFont"/>
    <w:uiPriority w:val="99"/>
    <w:unhideWhenUsed w:val="1"/>
    <w:rsid w:val="007C7AD2"/>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4.0" w:type="dxa"/>
        <w:left w:w="0.0" w:type="dxa"/>
        <w:bottom w:w="0.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4A+l6Jzys3j8tiJGT0YSdqCqIEw==">AMUW2mXtLE2LOgFPHX5n7kYYxvqXts+QGYzyxab7wp5oIV9rKsk85AzJx0UFB8WRT3zOz6kDrfY23ghDNuWW+d5g0KGnn06nAW5goWrDJ8WH14pfIRGS+Fk=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2023-02-19T19:59:00Z</dcterms:created>
  <dc:creator>Jo Walker</dc:creator>
</cp:coreProperties>
</file>